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7CA4E101" w14:textId="0AA04938" w:rsidR="000E2BC1" w:rsidRDefault="00424EBB" w:rsidP="00424EBB">
      <w:pPr>
        <w:pStyle w:val="ae"/>
        <w:ind w:left="792"/>
      </w:pPr>
      <w:r>
        <w:t>ПК «</w:t>
      </w:r>
      <w:r w:rsidR="008D797A" w:rsidRPr="00973C06">
        <w:t>Генетическая токсикология</w:t>
      </w:r>
      <w:r>
        <w:t xml:space="preserve">», </w:t>
      </w:r>
    </w:p>
    <w:p w14:paraId="42F069B3" w14:textId="167409B3" w:rsidR="00424EBB" w:rsidRDefault="00424EBB" w:rsidP="00424EBB">
      <w:pPr>
        <w:pStyle w:val="ae"/>
        <w:ind w:left="792"/>
      </w:pPr>
      <w:r>
        <w:t>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1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758"/>
        <w:gridCol w:w="567"/>
        <w:gridCol w:w="708"/>
        <w:gridCol w:w="993"/>
        <w:gridCol w:w="992"/>
        <w:gridCol w:w="709"/>
        <w:gridCol w:w="425"/>
        <w:gridCol w:w="487"/>
      </w:tblGrid>
      <w:tr w:rsidR="00D55DE7" w:rsidRPr="00113835" w14:paraId="04FEF38A" w14:textId="77777777" w:rsidTr="00D55DE7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5AF52FA3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195259532"/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758" w:type="dxa"/>
            <w:vMerge w:val="restart"/>
            <w:vAlign w:val="center"/>
          </w:tcPr>
          <w:p w14:paraId="0B316EA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6F1932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7B2657CC" w14:textId="77777777" w:rsidR="00D55DE7" w:rsidRPr="00113835" w:rsidRDefault="00D55DE7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090315A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661E79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55DE7" w:rsidRPr="00113835" w14:paraId="47ADE867" w14:textId="77777777" w:rsidTr="00D55DE7">
        <w:trPr>
          <w:trHeight w:val="470"/>
          <w:tblHeader/>
        </w:trPr>
        <w:tc>
          <w:tcPr>
            <w:tcW w:w="488" w:type="dxa"/>
            <w:vMerge/>
          </w:tcPr>
          <w:p w14:paraId="43D19A86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5B21D2A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9B57EA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188808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7CB790A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29367B0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2A1A229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5DE7" w:rsidRPr="00113835" w14:paraId="1C7CF185" w14:textId="77777777" w:rsidTr="00D55DE7">
        <w:trPr>
          <w:cantSplit/>
          <w:trHeight w:val="1265"/>
          <w:tblHeader/>
        </w:trPr>
        <w:tc>
          <w:tcPr>
            <w:tcW w:w="488" w:type="dxa"/>
            <w:vMerge/>
          </w:tcPr>
          <w:p w14:paraId="75B9805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687CBFE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4D9D86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044FD41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8752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3368D64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57F034C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3525CD3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63DF0A0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1144EE76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D55DE7" w:rsidRPr="00113835" w14:paraId="2C6B5E86" w14:textId="77777777" w:rsidTr="00D55DE7">
        <w:trPr>
          <w:tblHeader/>
        </w:trPr>
        <w:tc>
          <w:tcPr>
            <w:tcW w:w="488" w:type="dxa"/>
          </w:tcPr>
          <w:p w14:paraId="004A4E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58" w:type="dxa"/>
          </w:tcPr>
          <w:p w14:paraId="3DA65D3B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25379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76710E9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8009635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98F47B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8C031B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004036B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3A7EC57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A2A8A" w:rsidRPr="00113835" w14:paraId="2465F1B9" w14:textId="77777777" w:rsidTr="00D55DE7">
        <w:tc>
          <w:tcPr>
            <w:tcW w:w="488" w:type="dxa"/>
          </w:tcPr>
          <w:p w14:paraId="2E160430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758" w:type="dxa"/>
          </w:tcPr>
          <w:p w14:paraId="1DAB602F" w14:textId="189F3F86" w:rsidR="000A2A8A" w:rsidRPr="00C87C4C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Генетическая токсикология: цели, задачи, значение. Факторы, влияющие на генетическую стабильность организмов.</w:t>
            </w:r>
          </w:p>
        </w:tc>
        <w:tc>
          <w:tcPr>
            <w:tcW w:w="567" w:type="dxa"/>
            <w:vAlign w:val="center"/>
          </w:tcPr>
          <w:p w14:paraId="5295AE2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53463DFE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48C52BD7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4F2FA687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7214778F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163BA61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095F344C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31111D22" w14:textId="77777777" w:rsidTr="00D55DE7">
        <w:tc>
          <w:tcPr>
            <w:tcW w:w="488" w:type="dxa"/>
          </w:tcPr>
          <w:p w14:paraId="75F6FCD4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758" w:type="dxa"/>
          </w:tcPr>
          <w:p w14:paraId="1F4E3AD1" w14:textId="3CE33BEF" w:rsidR="000A2A8A" w:rsidRPr="00C87C4C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67133">
              <w:rPr>
                <w:rFonts w:cs="Times New Roman"/>
                <w:sz w:val="24"/>
                <w:szCs w:val="24"/>
              </w:rPr>
              <w:t xml:space="preserve">Мутационный процесс. </w:t>
            </w:r>
            <w:proofErr w:type="spellStart"/>
            <w:r w:rsidRPr="00F67133">
              <w:rPr>
                <w:rFonts w:cs="Times New Roman"/>
                <w:sz w:val="24"/>
                <w:szCs w:val="24"/>
              </w:rPr>
              <w:t>Тератогенез</w:t>
            </w:r>
            <w:proofErr w:type="spellEnd"/>
            <w:r w:rsidRPr="00F67133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Антимутагенез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73329B0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20D2FC89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592EE51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77169A1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392220D3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6D52089B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2106DC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296AEA8B" w14:textId="77777777" w:rsidTr="00D55DE7">
        <w:tc>
          <w:tcPr>
            <w:tcW w:w="488" w:type="dxa"/>
          </w:tcPr>
          <w:p w14:paraId="78977AE3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758" w:type="dxa"/>
          </w:tcPr>
          <w:p w14:paraId="002CCBF0" w14:textId="4AEE8198" w:rsidR="000A2A8A" w:rsidRPr="00C87C4C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Понятие стресса. Компоненты и функции стресс-</w:t>
            </w:r>
            <w:proofErr w:type="spellStart"/>
            <w:r>
              <w:rPr>
                <w:rFonts w:cs="Times New Roman"/>
                <w:sz w:val="24"/>
                <w:szCs w:val="24"/>
              </w:rPr>
              <w:t>сигналинга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567" w:type="dxa"/>
            <w:vAlign w:val="center"/>
          </w:tcPr>
          <w:p w14:paraId="51986A7D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8" w:type="dxa"/>
            <w:vAlign w:val="center"/>
          </w:tcPr>
          <w:p w14:paraId="5F3A0F0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3" w:type="dxa"/>
            <w:vAlign w:val="center"/>
          </w:tcPr>
          <w:p w14:paraId="515EA08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14:paraId="3641755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14:paraId="083EA48F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663BA64A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19674265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7A2DDFA2" w14:textId="77777777" w:rsidTr="00D55DE7">
        <w:tc>
          <w:tcPr>
            <w:tcW w:w="488" w:type="dxa"/>
          </w:tcPr>
          <w:p w14:paraId="05B4A5C6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758" w:type="dxa"/>
          </w:tcPr>
          <w:p w14:paraId="7E485725" w14:textId="6A2799F7" w:rsidR="000A2A8A" w:rsidRPr="00C87C4C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67133">
              <w:rPr>
                <w:rFonts w:cs="Times New Roman"/>
                <w:sz w:val="24"/>
                <w:szCs w:val="24"/>
              </w:rPr>
              <w:t>Генетический скрининг и мониторинг. Характеристика тест-систем, применяющихся в генетической токсикологии.</w:t>
            </w:r>
          </w:p>
        </w:tc>
        <w:tc>
          <w:tcPr>
            <w:tcW w:w="567" w:type="dxa"/>
            <w:vAlign w:val="center"/>
          </w:tcPr>
          <w:p w14:paraId="38442BD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8" w:type="dxa"/>
            <w:vAlign w:val="center"/>
          </w:tcPr>
          <w:p w14:paraId="2A51B0B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3" w:type="dxa"/>
            <w:vAlign w:val="center"/>
          </w:tcPr>
          <w:p w14:paraId="1AF43FE2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274382D1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3FE4ADD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2D8AF04E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4631A904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A2A8A" w:rsidRPr="00113835" w14:paraId="08F04534" w14:textId="77777777" w:rsidTr="00D55DE7">
        <w:tc>
          <w:tcPr>
            <w:tcW w:w="488" w:type="dxa"/>
          </w:tcPr>
          <w:p w14:paraId="4CE93A3E" w14:textId="77777777" w:rsidR="000A2A8A" w:rsidRPr="00C87C4C" w:rsidRDefault="000A2A8A" w:rsidP="000A2A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758" w:type="dxa"/>
          </w:tcPr>
          <w:p w14:paraId="2A6C480C" w14:textId="211F856F" w:rsidR="000A2A8A" w:rsidRPr="00C87C4C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Методы генетической токсикологии. </w:t>
            </w:r>
            <w:r w:rsidRPr="00F67133">
              <w:rPr>
                <w:rFonts w:cs="Times New Roman"/>
                <w:sz w:val="24"/>
                <w:szCs w:val="24"/>
              </w:rPr>
              <w:t>Генетика устойчивости/чувствительности к факторам внешней среды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714C0F0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8" w:type="dxa"/>
            <w:vAlign w:val="center"/>
          </w:tcPr>
          <w:p w14:paraId="123A831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vAlign w:val="center"/>
          </w:tcPr>
          <w:p w14:paraId="69C3E344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1AF2A6B6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9F24305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0E020BC8" w14:textId="77777777" w:rsidR="000A2A8A" w:rsidRPr="00C87C4C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8ABFE2" w14:textId="77777777" w:rsidR="000A2A8A" w:rsidRPr="00113835" w:rsidRDefault="000A2A8A" w:rsidP="000A2A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6C9469A1" w14:textId="77777777" w:rsidTr="00D55DE7">
        <w:tc>
          <w:tcPr>
            <w:tcW w:w="488" w:type="dxa"/>
          </w:tcPr>
          <w:p w14:paraId="049B985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6030CB4D" w14:textId="777777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4AF4268F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137810C5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002820B9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vAlign w:val="center"/>
          </w:tcPr>
          <w:p w14:paraId="1E7C13CE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  <w:tc>
          <w:tcPr>
            <w:tcW w:w="709" w:type="dxa"/>
            <w:vAlign w:val="center"/>
          </w:tcPr>
          <w:p w14:paraId="19107AF7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284A0F4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3C38DD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75F71557" w14:textId="77777777" w:rsidTr="00D55DE7">
        <w:tc>
          <w:tcPr>
            <w:tcW w:w="488" w:type="dxa"/>
          </w:tcPr>
          <w:p w14:paraId="14A53210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207E4AEF" w14:textId="3DF19A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280D725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26E934D3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B9C50BA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16D1D3C1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0AB540F9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</w:tcPr>
          <w:p w14:paraId="668A4A3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624E6EA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5AA3969A" w14:textId="77777777" w:rsidTr="00D55DE7">
        <w:tc>
          <w:tcPr>
            <w:tcW w:w="488" w:type="dxa"/>
            <w:tcBorders>
              <w:bottom w:val="single" w:sz="4" w:space="0" w:color="auto"/>
            </w:tcBorders>
          </w:tcPr>
          <w:p w14:paraId="22FA984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bottom w:val="single" w:sz="4" w:space="0" w:color="auto"/>
            </w:tcBorders>
          </w:tcPr>
          <w:p w14:paraId="02B198D2" w14:textId="77777777" w:rsidR="00D55DE7" w:rsidRPr="00D55DE7" w:rsidRDefault="00D55DE7" w:rsidP="00AA2208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2405168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FE790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E3558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56050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0C7CB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A1A67A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520666D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bookmarkEnd w:id="0"/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46F642A8" w:rsidR="00D74C67" w:rsidRDefault="00D74C67" w:rsidP="00D55DE7">
      <w:pPr>
        <w:pStyle w:val="af4"/>
        <w:numPr>
          <w:ilvl w:val="0"/>
          <w:numId w:val="26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D55DE7" w14:paraId="1707534B" w14:textId="77777777" w:rsidTr="00AA2208">
        <w:tc>
          <w:tcPr>
            <w:tcW w:w="2671" w:type="dxa"/>
          </w:tcPr>
          <w:p w14:paraId="233AB1E8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  <w:vertAlign w:val="superscript"/>
              </w:rPr>
            </w:pPr>
            <w:bookmarkStart w:id="1" w:name="_Hlk195259549"/>
            <w:r w:rsidRPr="003E760B">
              <w:rPr>
                <w:b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DC7DA1D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3E760B">
              <w:rPr>
                <w:b w:val="0"/>
              </w:rPr>
              <w:t>Наименование раздела</w:t>
            </w:r>
          </w:p>
        </w:tc>
      </w:tr>
      <w:tr w:rsidR="000A2A8A" w14:paraId="5AE5C33E" w14:textId="77777777" w:rsidTr="00AA2208">
        <w:tc>
          <w:tcPr>
            <w:tcW w:w="2671" w:type="dxa"/>
          </w:tcPr>
          <w:p w14:paraId="0F132609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</w:tcPr>
          <w:p w14:paraId="6CA6ED2D" w14:textId="476C378A" w:rsidR="000A2A8A" w:rsidRPr="000A2A8A" w:rsidRDefault="000A2A8A" w:rsidP="000A2A8A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0A2A8A">
              <w:rPr>
                <w:rFonts w:cs="Times New Roman"/>
                <w:sz w:val="24"/>
                <w:szCs w:val="24"/>
              </w:rPr>
              <w:t>Генетическая токсикология: цели, задачи, значение. Факторы, влияющие на генетическую стабильность организмов.</w:t>
            </w:r>
          </w:p>
        </w:tc>
      </w:tr>
      <w:tr w:rsidR="000A2A8A" w14:paraId="3B8F06D0" w14:textId="77777777" w:rsidTr="00AA2208">
        <w:tc>
          <w:tcPr>
            <w:tcW w:w="2671" w:type="dxa"/>
          </w:tcPr>
          <w:p w14:paraId="3B8010F1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2 неделя</w:t>
            </w:r>
          </w:p>
        </w:tc>
        <w:tc>
          <w:tcPr>
            <w:tcW w:w="7252" w:type="dxa"/>
          </w:tcPr>
          <w:p w14:paraId="747EB267" w14:textId="74D0BB89" w:rsidR="000A2A8A" w:rsidRPr="000A2A8A" w:rsidRDefault="000A2A8A" w:rsidP="000A2A8A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A2A8A">
              <w:rPr>
                <w:rFonts w:cs="Times New Roman"/>
                <w:sz w:val="24"/>
                <w:szCs w:val="24"/>
              </w:rPr>
              <w:t xml:space="preserve">Мутационный процесс. </w:t>
            </w:r>
            <w:proofErr w:type="spellStart"/>
            <w:r w:rsidRPr="000A2A8A">
              <w:rPr>
                <w:rFonts w:cs="Times New Roman"/>
                <w:sz w:val="24"/>
                <w:szCs w:val="24"/>
              </w:rPr>
              <w:t>Тератогенез</w:t>
            </w:r>
            <w:proofErr w:type="spellEnd"/>
            <w:r w:rsidRPr="000A2A8A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0A2A8A">
              <w:rPr>
                <w:rFonts w:cs="Times New Roman"/>
                <w:sz w:val="24"/>
                <w:szCs w:val="24"/>
              </w:rPr>
              <w:t>Антимутагенез</w:t>
            </w:r>
            <w:proofErr w:type="spellEnd"/>
            <w:r w:rsidRPr="000A2A8A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A2A8A" w14:paraId="223750F7" w14:textId="77777777" w:rsidTr="00AA2208">
        <w:tc>
          <w:tcPr>
            <w:tcW w:w="2671" w:type="dxa"/>
          </w:tcPr>
          <w:p w14:paraId="79053AE4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3 неделя</w:t>
            </w:r>
          </w:p>
        </w:tc>
        <w:tc>
          <w:tcPr>
            <w:tcW w:w="7252" w:type="dxa"/>
          </w:tcPr>
          <w:p w14:paraId="58B13B28" w14:textId="46E345A3" w:rsidR="000A2A8A" w:rsidRPr="000A2A8A" w:rsidRDefault="000A2A8A" w:rsidP="000A2A8A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0A2A8A">
              <w:rPr>
                <w:rFonts w:cs="Times New Roman"/>
                <w:sz w:val="24"/>
                <w:szCs w:val="24"/>
              </w:rPr>
              <w:t>Понятие стресса. Компоненты и функции стресс-</w:t>
            </w:r>
            <w:proofErr w:type="spellStart"/>
            <w:r w:rsidRPr="000A2A8A">
              <w:rPr>
                <w:rFonts w:cs="Times New Roman"/>
                <w:sz w:val="24"/>
                <w:szCs w:val="24"/>
              </w:rPr>
              <w:t>сигналинга</w:t>
            </w:r>
            <w:proofErr w:type="spellEnd"/>
            <w:r w:rsidRPr="000A2A8A">
              <w:rPr>
                <w:rFonts w:cs="Times New Roman"/>
                <w:sz w:val="24"/>
                <w:szCs w:val="24"/>
              </w:rPr>
              <w:t xml:space="preserve"> клетки.</w:t>
            </w:r>
          </w:p>
        </w:tc>
      </w:tr>
      <w:tr w:rsidR="000A2A8A" w14:paraId="1E78F269" w14:textId="77777777" w:rsidTr="00AA2208">
        <w:tc>
          <w:tcPr>
            <w:tcW w:w="2671" w:type="dxa"/>
          </w:tcPr>
          <w:p w14:paraId="3F29C8A1" w14:textId="77777777" w:rsidR="000A2A8A" w:rsidRPr="003E760B" w:rsidRDefault="000A2A8A" w:rsidP="000A2A8A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4 неделя</w:t>
            </w:r>
          </w:p>
        </w:tc>
        <w:tc>
          <w:tcPr>
            <w:tcW w:w="7252" w:type="dxa"/>
          </w:tcPr>
          <w:p w14:paraId="4102AB78" w14:textId="5E3086A6" w:rsidR="000A2A8A" w:rsidRPr="000A2A8A" w:rsidRDefault="000A2A8A" w:rsidP="000A2A8A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0A2A8A">
              <w:rPr>
                <w:b w:val="0"/>
                <w:bCs w:val="0"/>
              </w:rPr>
              <w:t>Генетический скрининг и мониторинг. Характеристика тест-систем, применяющихся в генетической токсикологии.</w:t>
            </w:r>
            <w:r>
              <w:rPr>
                <w:b w:val="0"/>
                <w:bCs w:val="0"/>
              </w:rPr>
              <w:t xml:space="preserve"> Итоговая аттестация.</w:t>
            </w:r>
          </w:p>
        </w:tc>
      </w:tr>
      <w:bookmarkEnd w:id="1"/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12BA" w14:textId="77777777" w:rsidR="003B6498" w:rsidRDefault="003B6498">
      <w:pPr>
        <w:spacing w:line="240" w:lineRule="auto"/>
      </w:pPr>
      <w:r>
        <w:separator/>
      </w:r>
    </w:p>
  </w:endnote>
  <w:endnote w:type="continuationSeparator" w:id="0">
    <w:p w14:paraId="47FF953A" w14:textId="77777777" w:rsidR="003B6498" w:rsidRDefault="003B64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86CDB" w14:textId="77777777" w:rsidR="003B6498" w:rsidRDefault="003B6498">
      <w:pPr>
        <w:spacing w:after="0"/>
      </w:pPr>
      <w:r>
        <w:separator/>
      </w:r>
    </w:p>
  </w:footnote>
  <w:footnote w:type="continuationSeparator" w:id="0">
    <w:p w14:paraId="221D4723" w14:textId="77777777" w:rsidR="003B6498" w:rsidRDefault="003B64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2A8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BC1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498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AB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D797A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55DE7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uiPriority w:val="10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uiPriority w:val="1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2025-04-11T07:22:00Z</dcterms:created>
  <dcterms:modified xsi:type="dcterms:W3CDTF">2025-04-11T07:26:00Z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